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D0057" w14:textId="77777777" w:rsidR="00EF50EB" w:rsidRDefault="00EF50EB" w:rsidP="00EF50EB">
      <w:pPr>
        <w:jc w:val="center"/>
        <w:rPr>
          <w:sz w:val="28"/>
          <w:szCs w:val="28"/>
          <w:lang w:val="pt-PT"/>
        </w:rPr>
      </w:pPr>
      <w:r w:rsidRPr="00EF50EB">
        <w:rPr>
          <w:sz w:val="28"/>
          <w:szCs w:val="28"/>
          <w:lang w:val="pt-PT"/>
        </w:rPr>
        <w:t>UMA BREVE PERSPECTIVA DO F</w:t>
      </w:r>
      <w:r>
        <w:rPr>
          <w:sz w:val="28"/>
          <w:szCs w:val="28"/>
          <w:lang w:val="pt-PT"/>
        </w:rPr>
        <w:t xml:space="preserve">EMININO </w:t>
      </w:r>
    </w:p>
    <w:p w14:paraId="72D3E59C" w14:textId="06A75814" w:rsidR="000F3235" w:rsidRDefault="00EF50EB" w:rsidP="00EF50EB">
      <w:pPr>
        <w:jc w:val="center"/>
        <w:rPr>
          <w:sz w:val="28"/>
          <w:szCs w:val="28"/>
          <w:lang w:val="pt-PT"/>
        </w:rPr>
      </w:pPr>
      <w:r>
        <w:rPr>
          <w:sz w:val="28"/>
          <w:szCs w:val="28"/>
          <w:lang w:val="pt-PT"/>
        </w:rPr>
        <w:t>NO ANTIGO TESTAMENTO</w:t>
      </w:r>
    </w:p>
    <w:p w14:paraId="6CA53FE9" w14:textId="1A91C10A" w:rsidR="00EF50EB" w:rsidRDefault="00EF50EB" w:rsidP="00EF50EB">
      <w:pPr>
        <w:jc w:val="center"/>
        <w:rPr>
          <w:sz w:val="28"/>
          <w:szCs w:val="28"/>
          <w:lang w:val="pt-PT"/>
        </w:rPr>
      </w:pPr>
    </w:p>
    <w:p w14:paraId="610540E4" w14:textId="3BD21B4D" w:rsidR="006B39F0" w:rsidRPr="00EB7965" w:rsidRDefault="00EF50EB" w:rsidP="00EE2C7A">
      <w:pPr>
        <w:spacing w:line="276" w:lineRule="auto"/>
        <w:jc w:val="both"/>
      </w:pPr>
      <w:r w:rsidRPr="00EB7965">
        <w:t xml:space="preserve">Conta-se que </w:t>
      </w:r>
      <w:r w:rsidR="00F76D2B" w:rsidRPr="00EB7965">
        <w:t xml:space="preserve">um estudante </w:t>
      </w:r>
      <w:r w:rsidR="00EB7965" w:rsidRPr="00EB7965">
        <w:t>teria</w:t>
      </w:r>
      <w:r w:rsidR="00F76D2B" w:rsidRPr="00EB7965">
        <w:t xml:space="preserve"> perguntado à</w:t>
      </w:r>
      <w:r w:rsidRPr="00EB7965">
        <w:t xml:space="preserve"> antropóloga Margaret Mead </w:t>
      </w:r>
      <w:r w:rsidR="006B39F0" w:rsidRPr="00EB7965">
        <w:t xml:space="preserve">(1901-1978) </w:t>
      </w:r>
      <w:r w:rsidR="00F76D2B" w:rsidRPr="00EB7965">
        <w:t xml:space="preserve">sobre qual </w:t>
      </w:r>
      <w:r w:rsidR="00EB7965" w:rsidRPr="00EB7965">
        <w:t>seria</w:t>
      </w:r>
      <w:r w:rsidR="00F76D2B" w:rsidRPr="00EB7965">
        <w:t xml:space="preserve"> o primeiro sinal de civilização de uma cultura, esperando que ela comentasse sobre </w:t>
      </w:r>
      <w:r w:rsidR="00F76D2B" w:rsidRPr="00EB7965">
        <w:rPr>
          <w:i/>
          <w:iCs/>
        </w:rPr>
        <w:t xml:space="preserve">tigelas de barro, pedras, moedas </w:t>
      </w:r>
      <w:r w:rsidR="00F76D2B" w:rsidRPr="00EB7965">
        <w:t xml:space="preserve">ou algum outro fragmento encontrado. </w:t>
      </w:r>
      <w:r w:rsidR="00EB7965" w:rsidRPr="00EB7965">
        <w:t>Mas a</w:t>
      </w:r>
      <w:r w:rsidR="00F76D2B" w:rsidRPr="00EB7965">
        <w:t xml:space="preserve"> resposta foi interessante. Ela </w:t>
      </w:r>
      <w:r w:rsidR="00EB7965" w:rsidRPr="00EB7965">
        <w:t>teria</w:t>
      </w:r>
      <w:r w:rsidR="00F76D2B" w:rsidRPr="00EB7965">
        <w:t xml:space="preserve"> dito que o primeiro sinal de civilização em uma cultura antiga é a presença de um </w:t>
      </w:r>
      <w:r w:rsidR="00F76D2B" w:rsidRPr="00EB7965">
        <w:rPr>
          <w:i/>
          <w:iCs/>
        </w:rPr>
        <w:t xml:space="preserve">fêmur partido que foi curado. </w:t>
      </w:r>
      <w:r w:rsidR="00F76D2B" w:rsidRPr="00EB7965">
        <w:t>E Mead faz um</w:t>
      </w:r>
      <w:r w:rsidR="00EB7965">
        <w:t>a</w:t>
      </w:r>
      <w:r w:rsidR="00F76D2B" w:rsidRPr="00EB7965">
        <w:t xml:space="preserve"> curiosa explicação para o aluno atento, dizendo que </w:t>
      </w:r>
      <w:r w:rsidR="00073955" w:rsidRPr="00EB7965">
        <w:t xml:space="preserve">no reino animal quando um javali quebra uma perna se torna </w:t>
      </w:r>
      <w:r w:rsidR="00073955" w:rsidRPr="00EB7965">
        <w:rPr>
          <w:i/>
          <w:iCs/>
        </w:rPr>
        <w:t>carne fresca para os predadores</w:t>
      </w:r>
      <w:r w:rsidR="00073955" w:rsidRPr="00EB7965">
        <w:t xml:space="preserve">. Isto parece evidente: nenhum animal com uma perna quebrada consegue fugir do perigo, beber </w:t>
      </w:r>
      <w:r w:rsidR="00EB7965" w:rsidRPr="00EB7965">
        <w:t>água</w:t>
      </w:r>
      <w:r w:rsidR="00073955" w:rsidRPr="00EB7965">
        <w:t xml:space="preserve"> no rio ou caçar algo para comer. </w:t>
      </w:r>
      <w:r w:rsidR="00EB7965">
        <w:t>No entanto</w:t>
      </w:r>
      <w:r w:rsidR="00073955" w:rsidRPr="00EB7965">
        <w:t xml:space="preserve">, o </w:t>
      </w:r>
      <w:r w:rsidR="00073955" w:rsidRPr="00EB7965">
        <w:rPr>
          <w:i/>
          <w:iCs/>
        </w:rPr>
        <w:t xml:space="preserve">fêmur partido que foi curado </w:t>
      </w:r>
      <w:r w:rsidR="00073955" w:rsidRPr="00EB7965">
        <w:t xml:space="preserve">evidencia a presença de </w:t>
      </w:r>
      <w:r w:rsidR="006B39F0" w:rsidRPr="00EB7965">
        <w:t xml:space="preserve">uma cultura solidária, amiga e capaz de superar os seus </w:t>
      </w:r>
      <w:r w:rsidR="00EB7965" w:rsidRPr="00EB7965">
        <w:t>próprios</w:t>
      </w:r>
      <w:r w:rsidR="006B39F0" w:rsidRPr="00EB7965">
        <w:t xml:space="preserve"> desafios e preservar os seus valores.</w:t>
      </w:r>
      <w:r w:rsidR="00073955" w:rsidRPr="00EB7965">
        <w:t xml:space="preserve"> </w:t>
      </w:r>
      <w:r w:rsidR="00F76D2B" w:rsidRPr="00EB7965">
        <w:t xml:space="preserve"> </w:t>
      </w:r>
    </w:p>
    <w:p w14:paraId="465FA132" w14:textId="77777777" w:rsidR="006B39F0" w:rsidRPr="00EB7965" w:rsidRDefault="006B39F0" w:rsidP="00EE2C7A">
      <w:pPr>
        <w:spacing w:line="276" w:lineRule="auto"/>
        <w:jc w:val="both"/>
      </w:pPr>
    </w:p>
    <w:p w14:paraId="1D49CA65" w14:textId="49D7474F" w:rsidR="00FD3A85" w:rsidRPr="00EB7965" w:rsidRDefault="006B39F0" w:rsidP="00EE2C7A">
      <w:pPr>
        <w:spacing w:line="276" w:lineRule="auto"/>
        <w:jc w:val="both"/>
      </w:pPr>
      <w:r w:rsidRPr="00EB7965">
        <w:t xml:space="preserve">O feminino no Antigo Testamento mostra a presença de uma cultura com características próprias e valores singulares. O </w:t>
      </w:r>
      <w:r w:rsidRPr="00EB7965">
        <w:rPr>
          <w:i/>
          <w:iCs/>
        </w:rPr>
        <w:t xml:space="preserve">fêmur partido que foi curado </w:t>
      </w:r>
      <w:r w:rsidRPr="00EB7965">
        <w:t xml:space="preserve">na cultura antiga dos </w:t>
      </w:r>
      <w:r w:rsidR="00EB7965" w:rsidRPr="00EB7965">
        <w:t>judeus</w:t>
      </w:r>
      <w:r w:rsidRPr="00EB7965">
        <w:t xml:space="preserve">, desde a época dos patriarcas até </w:t>
      </w:r>
      <w:r w:rsidR="0061770A" w:rsidRPr="00EB7965">
        <w:t>o tempo da restauração, o feminino apresenta algumas características singulares e inter</w:t>
      </w:r>
      <w:r w:rsidR="00FD3A85" w:rsidRPr="00EB7965">
        <w:t>e</w:t>
      </w:r>
      <w:r w:rsidR="0061770A" w:rsidRPr="00EB7965">
        <w:t xml:space="preserve">ssantes. Primeiro, diríamos, o reconhecimento da dignidade feminina desde a narrativa da criação, onde a mulher aparece como um ser criado por Deus assim como o homem. Portanto, uma posição de igualdade. Logo depois, a mulher surge como uma pessoa atuante dentro da família, não como uma </w:t>
      </w:r>
      <w:r w:rsidR="0061770A" w:rsidRPr="00EB7965">
        <w:rPr>
          <w:i/>
          <w:iCs/>
        </w:rPr>
        <w:t>escrava</w:t>
      </w:r>
      <w:r w:rsidR="0061770A" w:rsidRPr="00EB7965">
        <w:t xml:space="preserve">, mas </w:t>
      </w:r>
      <w:r w:rsidR="00EB7965" w:rsidRPr="00EB7965">
        <w:t>como alguém</w:t>
      </w:r>
      <w:r w:rsidR="0061770A" w:rsidRPr="00EB7965">
        <w:t xml:space="preserve"> </w:t>
      </w:r>
      <w:r w:rsidR="00EE2C7A" w:rsidRPr="00EB7965">
        <w:t xml:space="preserve">que cuida, opina, lidera, acolhe e decide, sendo uma autêntica companheira do seu marido. Esta cultura que aparece na época antiga dos patriarcas diferencia em muitos aspectos, de outros povos contemporâneos, onde as mulheres ocupavam um lugar inferior. </w:t>
      </w:r>
    </w:p>
    <w:p w14:paraId="48F0CE28" w14:textId="77777777" w:rsidR="00FD3A85" w:rsidRPr="00EB7965" w:rsidRDefault="00FD3A85" w:rsidP="00EE2C7A">
      <w:pPr>
        <w:spacing w:line="276" w:lineRule="auto"/>
        <w:jc w:val="both"/>
      </w:pPr>
    </w:p>
    <w:p w14:paraId="478A7E0E" w14:textId="37CD7F1A" w:rsidR="00E0535E" w:rsidRPr="00EB7965" w:rsidRDefault="00EE2C7A" w:rsidP="00EE2C7A">
      <w:pPr>
        <w:spacing w:line="276" w:lineRule="auto"/>
        <w:jc w:val="both"/>
        <w:rPr>
          <w:i/>
          <w:iCs/>
        </w:rPr>
      </w:pPr>
      <w:r w:rsidRPr="00EB7965">
        <w:t xml:space="preserve">Mais tarde, </w:t>
      </w:r>
      <w:r w:rsidR="00E0535E" w:rsidRPr="00EB7965">
        <w:t>na época do êxodo, parece evidente a atuação de Mi</w:t>
      </w:r>
      <w:r w:rsidR="00A30364" w:rsidRPr="00EB7965">
        <w:t>riã, como profetiza no contexto da instituição do sacerdócio, mostrando a importância destes dois ministérios na vida do povo de Israel. Para os que defendem a exclusividade do ministério masculino na atualidade, parece</w:t>
      </w:r>
      <w:r w:rsidR="008723B5" w:rsidRPr="00EB7965">
        <w:t xml:space="preserve"> que esquecem a importância do ministério profético</w:t>
      </w:r>
      <w:r w:rsidR="00D31184" w:rsidRPr="00EB7965">
        <w:t xml:space="preserve"> </w:t>
      </w:r>
      <w:r w:rsidR="008723B5" w:rsidRPr="00EB7965">
        <w:t xml:space="preserve">que tem em Miriã o primeiro exemplo de uma mulher profetiza. </w:t>
      </w:r>
      <w:r w:rsidR="00D31184" w:rsidRPr="00EB7965">
        <w:t>Para o profeta Miqueias, Miriã aparece junto com Moisés e Arão como líderes do povo</w:t>
      </w:r>
      <w:r w:rsidR="00D31184" w:rsidRPr="00EB7965">
        <w:rPr>
          <w:rStyle w:val="Refdenotaderodap"/>
        </w:rPr>
        <w:footnoteReference w:id="1"/>
      </w:r>
      <w:r w:rsidR="00CB2F63" w:rsidRPr="00EB7965">
        <w:t xml:space="preserve">. </w:t>
      </w:r>
      <w:r w:rsidR="008723B5" w:rsidRPr="00EB7965">
        <w:t>Reconhecemos que não temos na Bíblia nenhum livro profético escrito por uma mulher, mas também há profetas</w:t>
      </w:r>
      <w:r w:rsidR="004C1659">
        <w:t xml:space="preserve"> homens</w:t>
      </w:r>
      <w:r w:rsidR="008723B5" w:rsidRPr="00EB7965">
        <w:t xml:space="preserve"> que nada escreveram e que estão entre os não escriturísticos. Por exemplo, Natã, Elias, Eliseu e outros, incluindo os anônimos. O ministério profético foi relevante na história de Israel</w:t>
      </w:r>
      <w:r w:rsidR="00531CD1" w:rsidRPr="00EB7965">
        <w:t xml:space="preserve"> e, quem sabe, não </w:t>
      </w:r>
      <w:r w:rsidR="00EB7965" w:rsidRPr="00EB7965">
        <w:t>seria</w:t>
      </w:r>
      <w:r w:rsidR="00531CD1" w:rsidRPr="00EB7965">
        <w:t xml:space="preserve"> bom olvidar a sua importância, enfatizando o ministério sacerdotal masculino como exemplo d</w:t>
      </w:r>
      <w:r w:rsidR="00CB2F63" w:rsidRPr="00EB7965">
        <w:t>e</w:t>
      </w:r>
      <w:r w:rsidR="00531CD1" w:rsidRPr="00EB7965">
        <w:t xml:space="preserve"> exclusividade do </w:t>
      </w:r>
      <w:r w:rsidR="00EB7965" w:rsidRPr="00EB7965">
        <w:t>ministério</w:t>
      </w:r>
      <w:r w:rsidR="00531CD1" w:rsidRPr="00EB7965">
        <w:t xml:space="preserve"> masculino contemporâneo, recordando que para Lutero, o histórico reformador protestante, o sacerdócio universal d</w:t>
      </w:r>
      <w:r w:rsidR="003234B0" w:rsidRPr="00EB7965">
        <w:t>e tod</w:t>
      </w:r>
      <w:r w:rsidR="00531CD1" w:rsidRPr="00EB7965">
        <w:t xml:space="preserve">os </w:t>
      </w:r>
      <w:r w:rsidR="003234B0" w:rsidRPr="00EB7965">
        <w:t xml:space="preserve">os </w:t>
      </w:r>
      <w:r w:rsidR="00531CD1" w:rsidRPr="00EB7965">
        <w:t xml:space="preserve">cristãos foi uma das suas bandeiras. </w:t>
      </w:r>
      <w:r w:rsidR="00D95861" w:rsidRPr="00EB7965">
        <w:t>Parece que Winternitz</w:t>
      </w:r>
      <w:r w:rsidR="00D95861" w:rsidRPr="00EB7965">
        <w:rPr>
          <w:rStyle w:val="Refdenotaderodap"/>
        </w:rPr>
        <w:footnoteReference w:id="2"/>
      </w:r>
      <w:r w:rsidR="00D95861" w:rsidRPr="00EB7965">
        <w:t xml:space="preserve"> tem razão quando diz o seguinte: </w:t>
      </w:r>
      <w:r w:rsidR="00D95861" w:rsidRPr="00EB7965">
        <w:rPr>
          <w:i/>
          <w:iCs/>
        </w:rPr>
        <w:t>“A mulher tem sido sempre a melhor amiga da religião, mas a religião não tem sido sempre amiga da mulher”</w:t>
      </w:r>
      <w:r w:rsidR="00CB2F63" w:rsidRPr="00EB7965">
        <w:rPr>
          <w:i/>
          <w:iCs/>
        </w:rPr>
        <w:t>.</w:t>
      </w:r>
    </w:p>
    <w:p w14:paraId="2A2944CB" w14:textId="56165E6B" w:rsidR="00D95861" w:rsidRPr="00EB7965" w:rsidRDefault="002D016A" w:rsidP="00EE2C7A">
      <w:pPr>
        <w:spacing w:line="276" w:lineRule="auto"/>
        <w:jc w:val="both"/>
      </w:pPr>
      <w:r w:rsidRPr="00EB7965">
        <w:lastRenderedPageBreak/>
        <w:t xml:space="preserve">Na chegada do povo de Israel à terra prometida, aparece a </w:t>
      </w:r>
      <w:r w:rsidR="00EB7965" w:rsidRPr="00EB7965">
        <w:t>história</w:t>
      </w:r>
      <w:r w:rsidRPr="00EB7965">
        <w:t xml:space="preserve"> de uma mulher singular na sua coragem, determinação e fé. </w:t>
      </w:r>
      <w:r w:rsidR="00A24CFD" w:rsidRPr="00EB7965">
        <w:t xml:space="preserve">Trata-se de Raabe a moradora de Jericó que acolheu os dois espias enviados por Josué. Sua atitude revela uma pessoa bem informada dos acontecimentos, confiante no seu futuro, segura nas suas decisões e com uma fé inabalável no Deus Eterno, razão que levou o autor da Carta aos </w:t>
      </w:r>
      <w:proofErr w:type="spellStart"/>
      <w:r w:rsidR="00A24CFD" w:rsidRPr="00EB7965">
        <w:t>Hebreos</w:t>
      </w:r>
      <w:proofErr w:type="spellEnd"/>
      <w:r w:rsidR="00A24CFD" w:rsidRPr="00EB7965">
        <w:t xml:space="preserve"> incluir o seu nome entre os grandes exemplos de fé do Antig</w:t>
      </w:r>
      <w:r w:rsidR="00EB7965">
        <w:t>o</w:t>
      </w:r>
      <w:r w:rsidR="00A24CFD" w:rsidRPr="00EB7965">
        <w:t xml:space="preserve"> Testamento.</w:t>
      </w:r>
    </w:p>
    <w:p w14:paraId="7415E036" w14:textId="77777777" w:rsidR="00A24CFD" w:rsidRPr="00EB7965" w:rsidRDefault="00A24CFD" w:rsidP="00EE2C7A">
      <w:pPr>
        <w:spacing w:line="276" w:lineRule="auto"/>
        <w:jc w:val="both"/>
      </w:pPr>
    </w:p>
    <w:p w14:paraId="3A84C0E1" w14:textId="5E6811AE" w:rsidR="00A24CFD" w:rsidRPr="00EB7965" w:rsidRDefault="003234B0" w:rsidP="00EE2C7A">
      <w:pPr>
        <w:spacing w:line="276" w:lineRule="auto"/>
        <w:jc w:val="both"/>
      </w:pPr>
      <w:r w:rsidRPr="00EB7965">
        <w:t xml:space="preserve">No confuso e obscuro </w:t>
      </w:r>
      <w:r w:rsidR="004C1659">
        <w:t xml:space="preserve">tempo </w:t>
      </w:r>
      <w:r w:rsidRPr="00EB7965">
        <w:t xml:space="preserve">dos </w:t>
      </w:r>
      <w:r w:rsidR="00EB7965" w:rsidRPr="00EB7965">
        <w:t>juízes</w:t>
      </w:r>
      <w:r w:rsidRPr="00EB7965">
        <w:t xml:space="preserve"> aparece outra mulher profetiza que lidera o </w:t>
      </w:r>
      <w:r w:rsidR="00EB7965" w:rsidRPr="00EB7965">
        <w:t>povo durante</w:t>
      </w:r>
      <w:r w:rsidRPr="00EB7965">
        <w:t xml:space="preserve"> 40 anos. Estamos pensando em Débora, mulher de Lapidote. Foi ela que profetizou que Sísera, comandante do exército de Jabim, </w:t>
      </w:r>
      <w:r w:rsidR="00EB7965" w:rsidRPr="00EB7965">
        <w:t>seria</w:t>
      </w:r>
      <w:r w:rsidRPr="00EB7965">
        <w:t xml:space="preserve"> vencido por uma mulher chamada Jael</w:t>
      </w:r>
      <w:r w:rsidR="00CB2F63" w:rsidRPr="00EB7965">
        <w:t>. Estas duas mulheres são decisivas na estabilidade pol</w:t>
      </w:r>
      <w:r w:rsidR="00CC603B" w:rsidRPr="00EB7965">
        <w:t xml:space="preserve">ítica de Israel num tempo de muitas incertezas. </w:t>
      </w:r>
    </w:p>
    <w:p w14:paraId="15836F7D" w14:textId="77777777" w:rsidR="00A24CFD" w:rsidRPr="00EB7965" w:rsidRDefault="00A24CFD" w:rsidP="00EE2C7A">
      <w:pPr>
        <w:spacing w:line="276" w:lineRule="auto"/>
        <w:jc w:val="both"/>
      </w:pPr>
    </w:p>
    <w:p w14:paraId="27F9FDCD" w14:textId="114A0BB4" w:rsidR="009D1F12" w:rsidRPr="00005436" w:rsidRDefault="00CC603B" w:rsidP="00EE2C7A">
      <w:pPr>
        <w:spacing w:line="276" w:lineRule="auto"/>
        <w:jc w:val="both"/>
        <w:rPr>
          <w:i/>
          <w:iCs/>
          <w:lang w:val="pt-PT"/>
        </w:rPr>
      </w:pPr>
      <w:r w:rsidRPr="00EB7965">
        <w:t xml:space="preserve">Que diríamos das filhas de Zelofeade que motivaram uma decisão que regulamentou </w:t>
      </w:r>
      <w:r w:rsidR="000A4CA5" w:rsidRPr="00EB7965">
        <w:t xml:space="preserve">a questão de herança em </w:t>
      </w:r>
      <w:r w:rsidR="00EB7965" w:rsidRPr="00EB7965">
        <w:t>matrimônios</w:t>
      </w:r>
      <w:r w:rsidR="000A4CA5" w:rsidRPr="00EB7965">
        <w:t xml:space="preserve"> de pessoas de outras </w:t>
      </w:r>
      <w:r w:rsidR="000A4CA5" w:rsidRPr="00EB7965">
        <w:rPr>
          <w:i/>
          <w:iCs/>
        </w:rPr>
        <w:t>tribos</w:t>
      </w:r>
      <w:r w:rsidR="000A4CA5" w:rsidRPr="00EB7965">
        <w:rPr>
          <w:rStyle w:val="Refdenotaderodap"/>
          <w:i/>
          <w:iCs/>
        </w:rPr>
        <w:footnoteReference w:id="3"/>
      </w:r>
      <w:r w:rsidR="000A4CA5" w:rsidRPr="00EB7965">
        <w:rPr>
          <w:i/>
          <w:iCs/>
        </w:rPr>
        <w:t>.</w:t>
      </w:r>
      <w:r w:rsidR="000C39CA" w:rsidRPr="00EB7965">
        <w:rPr>
          <w:i/>
          <w:iCs/>
        </w:rPr>
        <w:t xml:space="preserve"> </w:t>
      </w:r>
      <w:r w:rsidR="000C39CA" w:rsidRPr="00EB7965">
        <w:t xml:space="preserve">Também de Acsa, filha de Calebe que teve a coragem de </w:t>
      </w:r>
      <w:r w:rsidR="00EB7965" w:rsidRPr="00EB7965">
        <w:t>reivindicar</w:t>
      </w:r>
      <w:r w:rsidR="000C39CA" w:rsidRPr="00EB7965">
        <w:t xml:space="preserve"> uma terra com </w:t>
      </w:r>
      <w:r w:rsidR="000C39CA" w:rsidRPr="00EB7965">
        <w:rPr>
          <w:i/>
          <w:iCs/>
        </w:rPr>
        <w:t>fontes de água</w:t>
      </w:r>
      <w:r w:rsidR="000C39CA" w:rsidRPr="00EB7965">
        <w:rPr>
          <w:rStyle w:val="Refdenotaderodap"/>
          <w:i/>
          <w:iCs/>
        </w:rPr>
        <w:footnoteReference w:id="4"/>
      </w:r>
      <w:r w:rsidR="000C39CA" w:rsidRPr="00EB7965">
        <w:t xml:space="preserve">, pensando no </w:t>
      </w:r>
      <w:r w:rsidR="00EB7965" w:rsidRPr="00EB7965">
        <w:t>bem-estar</w:t>
      </w:r>
      <w:r w:rsidR="000C39CA" w:rsidRPr="00EB7965">
        <w:t xml:space="preserve"> de sua família e sua prosperidade econômica. E ainda no tempo dos </w:t>
      </w:r>
      <w:r w:rsidR="00EB7965" w:rsidRPr="00EB7965">
        <w:t>juízes</w:t>
      </w:r>
      <w:r w:rsidR="000C39CA" w:rsidRPr="00EB7965">
        <w:t xml:space="preserve"> temos duas mulheres </w:t>
      </w:r>
      <w:r w:rsidR="00EB7965" w:rsidRPr="00EB7965">
        <w:t>extraordinárias</w:t>
      </w:r>
      <w:r w:rsidR="000C39CA" w:rsidRPr="00EB7965">
        <w:t>: Noemi e Rute, como exemplo</w:t>
      </w:r>
      <w:r w:rsidR="008535BE">
        <w:t>s</w:t>
      </w:r>
      <w:r w:rsidR="000C39CA" w:rsidRPr="00EB7965">
        <w:t xml:space="preserve"> de </w:t>
      </w:r>
      <w:r w:rsidR="00EB7965" w:rsidRPr="00EB7965">
        <w:t>persistência</w:t>
      </w:r>
      <w:r w:rsidR="000C39CA" w:rsidRPr="00EB7965">
        <w:t>, solidariedade e decisões inteligentes.</w:t>
      </w:r>
      <w:r w:rsidR="000A4CA5" w:rsidRPr="00EB7965">
        <w:rPr>
          <w:i/>
          <w:iCs/>
        </w:rPr>
        <w:t xml:space="preserve"> </w:t>
      </w:r>
      <w:r w:rsidR="00A24CFD" w:rsidRPr="00EB7965">
        <w:t xml:space="preserve">Rute, a moabita que entra na </w:t>
      </w:r>
      <w:r w:rsidR="00EB7965" w:rsidRPr="00EB7965">
        <w:t>genealogia</w:t>
      </w:r>
      <w:r w:rsidR="00A24CFD" w:rsidRPr="00EB7965">
        <w:t xml:space="preserve"> de Jesus</w:t>
      </w:r>
      <w:r w:rsidR="008535BE">
        <w:t xml:space="preserve"> e na galeria das mulheres vencedoras</w:t>
      </w:r>
      <w:r w:rsidR="009D1F12">
        <w:t>.</w:t>
      </w:r>
      <w:r w:rsidR="00DC3755">
        <w:t xml:space="preserve"> Mas também temos a história de mulheres que quebraram os mandamentos básicos da cultura hebreia</w:t>
      </w:r>
      <w:r w:rsidR="00005436">
        <w:t>. Por exemplo, a m</w:t>
      </w:r>
      <w:r w:rsidR="00005436">
        <w:rPr>
          <w:lang w:val="pt-PT"/>
        </w:rPr>
        <w:t xml:space="preserve">ãe de Mica, a concubina do levita e as mulheres dos benjaminitas, que confirmaram con suas atitudes a seguinte observação: </w:t>
      </w:r>
      <w:r w:rsidR="00005436">
        <w:rPr>
          <w:i/>
          <w:iCs/>
          <w:lang w:val="pt-PT"/>
        </w:rPr>
        <w:t>“O distanciamento da lei de Deus se reflete no distanciamento entre homens e nulheres”</w:t>
      </w:r>
      <w:r w:rsidR="00005436">
        <w:rPr>
          <w:rStyle w:val="Refdenotaderodap"/>
          <w:i/>
          <w:iCs/>
          <w:lang w:val="pt-PT"/>
        </w:rPr>
        <w:footnoteReference w:id="5"/>
      </w:r>
      <w:r w:rsidR="00005436">
        <w:rPr>
          <w:i/>
          <w:iCs/>
          <w:lang w:val="pt-PT"/>
        </w:rPr>
        <w:t>.</w:t>
      </w:r>
    </w:p>
    <w:p w14:paraId="23E3A931" w14:textId="77777777" w:rsidR="009D1F12" w:rsidRDefault="009D1F12" w:rsidP="00EE2C7A">
      <w:pPr>
        <w:spacing w:line="276" w:lineRule="auto"/>
        <w:jc w:val="both"/>
      </w:pPr>
    </w:p>
    <w:p w14:paraId="5920F98C" w14:textId="05AD1317" w:rsidR="007265E2" w:rsidRDefault="009D1F12" w:rsidP="00EE2C7A">
      <w:pPr>
        <w:spacing w:line="276" w:lineRule="auto"/>
        <w:jc w:val="both"/>
        <w:rPr>
          <w:lang w:val="pt-PT"/>
        </w:rPr>
      </w:pPr>
      <w:r>
        <w:t xml:space="preserve">No período </w:t>
      </w:r>
      <w:r w:rsidR="00DC3755">
        <w:t xml:space="preserve">dos reinados </w:t>
      </w:r>
      <w:r>
        <w:t>de Davi e Salom</w:t>
      </w:r>
      <w:r>
        <w:rPr>
          <w:lang w:val="pt-PT"/>
        </w:rPr>
        <w:t>ão, especialmente, mas tamb</w:t>
      </w:r>
      <w:r w:rsidRPr="009D1F12">
        <w:rPr>
          <w:lang w:val="pt-PT"/>
        </w:rPr>
        <w:t>ém</w:t>
      </w:r>
      <w:r>
        <w:rPr>
          <w:lang w:val="pt-PT"/>
        </w:rPr>
        <w:t xml:space="preserve"> no </w:t>
      </w:r>
      <w:r w:rsidR="00DC3755">
        <w:rPr>
          <w:lang w:val="pt-PT"/>
        </w:rPr>
        <w:t xml:space="preserve">longo tempo </w:t>
      </w:r>
      <w:r>
        <w:rPr>
          <w:lang w:val="pt-PT"/>
        </w:rPr>
        <w:t xml:space="preserve">do Reino dividido a </w:t>
      </w:r>
      <w:r w:rsidR="00077432">
        <w:rPr>
          <w:lang w:val="pt-PT"/>
        </w:rPr>
        <w:t>história</w:t>
      </w:r>
      <w:r w:rsidR="000A4CA5" w:rsidRPr="00EB7965">
        <w:rPr>
          <w:i/>
          <w:iCs/>
        </w:rPr>
        <w:t xml:space="preserve"> </w:t>
      </w:r>
      <w:r>
        <w:t>d</w:t>
      </w:r>
      <w:r w:rsidR="00077432">
        <w:t>a</w:t>
      </w:r>
      <w:r>
        <w:t xml:space="preserve"> </w:t>
      </w:r>
      <w:r w:rsidR="00077432">
        <w:t xml:space="preserve">exogamia </w:t>
      </w:r>
      <w:r w:rsidR="00DC3755">
        <w:t xml:space="preserve">mostra </w:t>
      </w:r>
      <w:r w:rsidR="00077432">
        <w:t>um lado preocupante de matrimônios com mulheres estrangeiras que influenciaram negativamente na vida e na conduta dos reis. O Reino do Norte com suas várias dinastias é um triste exemplo. Mas também n</w:t>
      </w:r>
      <w:r w:rsidR="007B0C8D">
        <w:t>a história de Davi, Salom</w:t>
      </w:r>
      <w:r w:rsidR="007B0C8D">
        <w:rPr>
          <w:lang w:val="pt-PT"/>
        </w:rPr>
        <w:t xml:space="preserve">ão e outros reis de Judá a exogamia confirma que o </w:t>
      </w:r>
      <w:r w:rsidR="007B0C8D">
        <w:rPr>
          <w:i/>
          <w:iCs/>
          <w:lang w:val="pt-PT"/>
        </w:rPr>
        <w:t xml:space="preserve">distanciamento da lei de Deus </w:t>
      </w:r>
      <w:r w:rsidR="007B0C8D">
        <w:rPr>
          <w:lang w:val="pt-PT"/>
        </w:rPr>
        <w:t>revela práticas e condutas que rompem os bons principios e fragilizam o carater. Depois do grande rei Ezequias temos um Manassés</w:t>
      </w:r>
      <w:r w:rsidR="003C30F1">
        <w:rPr>
          <w:lang w:val="pt-PT"/>
        </w:rPr>
        <w:t xml:space="preserve"> e d</w:t>
      </w:r>
      <w:r w:rsidR="007B0C8D">
        <w:rPr>
          <w:lang w:val="pt-PT"/>
        </w:rPr>
        <w:t xml:space="preserve">epois de um Josias temos </w:t>
      </w:r>
      <w:r w:rsidR="003C30F1">
        <w:rPr>
          <w:lang w:val="pt-PT"/>
        </w:rPr>
        <w:t>um Jeocaz, cujas mães, provavelmente, foram exemplos negativos.</w:t>
      </w:r>
      <w:r w:rsidR="00005436">
        <w:t xml:space="preserve"> </w:t>
      </w:r>
      <w:r w:rsidR="002A4502">
        <w:t>Tam</w:t>
      </w:r>
      <w:r w:rsidR="002A4502" w:rsidRPr="002A4502">
        <w:rPr>
          <w:lang w:val="pt-PT"/>
        </w:rPr>
        <w:t>bém n</w:t>
      </w:r>
      <w:r w:rsidR="00875B69">
        <w:rPr>
          <w:lang w:val="pt-PT"/>
        </w:rPr>
        <w:t>ã</w:t>
      </w:r>
      <w:r w:rsidR="002A4502" w:rsidRPr="002A4502">
        <w:rPr>
          <w:lang w:val="pt-PT"/>
        </w:rPr>
        <w:t>o deixa de ser interessante o casamento de Davi co</w:t>
      </w:r>
      <w:r w:rsidR="002A4502">
        <w:rPr>
          <w:lang w:val="pt-PT"/>
        </w:rPr>
        <w:t xml:space="preserve">m Betsabé como fator determinante na escolha de Salomão </w:t>
      </w:r>
      <w:r w:rsidR="00A84842">
        <w:rPr>
          <w:lang w:val="pt-PT"/>
        </w:rPr>
        <w:t>como</w:t>
      </w:r>
      <w:r w:rsidR="002A4502">
        <w:rPr>
          <w:lang w:val="pt-PT"/>
        </w:rPr>
        <w:t xml:space="preserve"> rei sucessor. </w:t>
      </w:r>
    </w:p>
    <w:p w14:paraId="17993312" w14:textId="77777777" w:rsidR="007265E2" w:rsidRDefault="007265E2" w:rsidP="00EE2C7A">
      <w:pPr>
        <w:spacing w:line="276" w:lineRule="auto"/>
        <w:jc w:val="both"/>
        <w:rPr>
          <w:lang w:val="pt-PT"/>
        </w:rPr>
      </w:pPr>
    </w:p>
    <w:p w14:paraId="3DC0E112" w14:textId="77777777" w:rsidR="00A84842" w:rsidRDefault="002A4502" w:rsidP="00EE2C7A">
      <w:pPr>
        <w:spacing w:line="276" w:lineRule="auto"/>
        <w:jc w:val="both"/>
        <w:rPr>
          <w:lang w:val="pt-PT"/>
        </w:rPr>
      </w:pPr>
      <w:r>
        <w:rPr>
          <w:lang w:val="pt-PT"/>
        </w:rPr>
        <w:t xml:space="preserve">De outro lado, o casamento de Acabe com </w:t>
      </w:r>
      <w:r w:rsidR="007265E2">
        <w:rPr>
          <w:lang w:val="pt-PT"/>
        </w:rPr>
        <w:t>Jezabel, filha de Etbaal, rei dos sid</w:t>
      </w:r>
      <w:r w:rsidR="007265E2" w:rsidRPr="007265E2">
        <w:rPr>
          <w:lang w:val="pt-PT"/>
        </w:rPr>
        <w:t>ô</w:t>
      </w:r>
      <w:r w:rsidR="007265E2">
        <w:rPr>
          <w:lang w:val="pt-PT"/>
        </w:rPr>
        <w:t xml:space="preserve">nios que construi uma casa para Baal em Samaria e ali edificou um altar a esta divindade que era uma das mais importantes para os povos cananeos e também para os fenicios, sidônios, caldeus e babilônicos. Com Jezabel, parece evidente, que Baal e os seus profetas </w:t>
      </w:r>
      <w:r w:rsidR="007265E2">
        <w:rPr>
          <w:lang w:val="pt-PT"/>
        </w:rPr>
        <w:lastRenderedPageBreak/>
        <w:t xml:space="preserve">dominaram o culto sincretista da </w:t>
      </w:r>
      <w:r w:rsidR="00417B89">
        <w:rPr>
          <w:lang w:val="pt-PT"/>
        </w:rPr>
        <w:t xml:space="preserve">Nação do Norte, multiplicando as prostitutas </w:t>
      </w:r>
      <w:r w:rsidR="00C340F1">
        <w:rPr>
          <w:lang w:val="pt-PT"/>
        </w:rPr>
        <w:t xml:space="preserve">e prostitutos </w:t>
      </w:r>
      <w:r w:rsidR="00417B89">
        <w:rPr>
          <w:lang w:val="pt-PT"/>
        </w:rPr>
        <w:t>sagrad</w:t>
      </w:r>
      <w:r w:rsidR="00C340F1">
        <w:rPr>
          <w:lang w:val="pt-PT"/>
        </w:rPr>
        <w:t>o</w:t>
      </w:r>
      <w:r w:rsidR="00417B89">
        <w:rPr>
          <w:lang w:val="pt-PT"/>
        </w:rPr>
        <w:t xml:space="preserve">s e as imoralidades que caracterizavam o baalismo. </w:t>
      </w:r>
    </w:p>
    <w:p w14:paraId="7E11772F" w14:textId="77777777" w:rsidR="00A84842" w:rsidRDefault="00A84842" w:rsidP="00EE2C7A">
      <w:pPr>
        <w:spacing w:line="276" w:lineRule="auto"/>
        <w:jc w:val="both"/>
        <w:rPr>
          <w:lang w:val="pt-PT"/>
        </w:rPr>
      </w:pPr>
    </w:p>
    <w:p w14:paraId="125BE21E" w14:textId="6B1D9B0D" w:rsidR="003234B0" w:rsidRPr="00EB7965" w:rsidRDefault="00A84842" w:rsidP="00EE2C7A">
      <w:pPr>
        <w:spacing w:line="276" w:lineRule="auto"/>
        <w:jc w:val="both"/>
        <w:rPr>
          <w:i/>
          <w:iCs/>
        </w:rPr>
      </w:pPr>
      <w:r>
        <w:rPr>
          <w:lang w:val="pt-PT"/>
        </w:rPr>
        <w:t>No podemos olvidar a atitude exemplar da rainha Vasti e o hist</w:t>
      </w:r>
      <w:r w:rsidRPr="00A84842">
        <w:rPr>
          <w:lang w:val="pt-PT"/>
        </w:rPr>
        <w:t>ór</w:t>
      </w:r>
      <w:r>
        <w:rPr>
          <w:lang w:val="pt-PT"/>
        </w:rPr>
        <w:t xml:space="preserve">ico momento vivido por Ester, a bela orfã de pai e mãe, que Mordecai a tomou como filha. Uma historia singular vivida </w:t>
      </w:r>
      <w:r w:rsidR="00972144">
        <w:rPr>
          <w:lang w:val="pt-PT"/>
        </w:rPr>
        <w:t xml:space="preserve">por Ester </w:t>
      </w:r>
      <w:r>
        <w:rPr>
          <w:lang w:val="pt-PT"/>
        </w:rPr>
        <w:t xml:space="preserve">num momento crucial para o povo judeo no cativeiro. </w:t>
      </w:r>
      <w:r w:rsidR="00972144">
        <w:rPr>
          <w:lang w:val="pt-PT"/>
        </w:rPr>
        <w:t>A resposta de Ester ao desafio de Mordecai revela algumas das qualidades desta mulher que estava por acaso</w:t>
      </w:r>
      <w:r w:rsidR="0074505D">
        <w:rPr>
          <w:lang w:val="pt-PT"/>
        </w:rPr>
        <w:t>,</w:t>
      </w:r>
      <w:r w:rsidR="00972144">
        <w:rPr>
          <w:lang w:val="pt-PT"/>
        </w:rPr>
        <w:t xml:space="preserve"> naquele momento</w:t>
      </w:r>
      <w:r w:rsidR="0074505D">
        <w:rPr>
          <w:lang w:val="pt-PT"/>
        </w:rPr>
        <w:t>,</w:t>
      </w:r>
      <w:r w:rsidR="00972144">
        <w:rPr>
          <w:lang w:val="pt-PT"/>
        </w:rPr>
        <w:t xml:space="preserve"> na condição de rainha, dizendo: </w:t>
      </w:r>
      <w:r w:rsidR="00972144">
        <w:rPr>
          <w:i/>
          <w:iCs/>
          <w:lang w:val="pt-PT"/>
        </w:rPr>
        <w:t>“Vai, ajunta a todos os judeos que se acharem em Susã, e jejuai por mim, e não comais, nem bebais por tr</w:t>
      </w:r>
      <w:r w:rsidR="00972144" w:rsidRPr="00972144">
        <w:rPr>
          <w:i/>
          <w:iCs/>
          <w:lang w:val="pt-PT"/>
        </w:rPr>
        <w:t>ês</w:t>
      </w:r>
      <w:r w:rsidR="00972144">
        <w:rPr>
          <w:i/>
          <w:iCs/>
          <w:lang w:val="pt-PT"/>
        </w:rPr>
        <w:t xml:space="preserve"> dias, nem de noite nem de dia; eu e as minhas servas também jejuaremos. Depois, irei com o rei, ainda que é contra a lei; se perecer, pereci</w:t>
      </w:r>
      <w:r w:rsidR="0074505D">
        <w:rPr>
          <w:rStyle w:val="Refdenotaderodap"/>
          <w:i/>
          <w:iCs/>
          <w:lang w:val="pt-PT"/>
        </w:rPr>
        <w:footnoteReference w:id="6"/>
      </w:r>
      <w:r w:rsidR="00972144">
        <w:rPr>
          <w:i/>
          <w:iCs/>
          <w:lang w:val="pt-PT"/>
        </w:rPr>
        <w:t>”.</w:t>
      </w:r>
      <w:r w:rsidR="000A4CA5" w:rsidRPr="00EB7965">
        <w:rPr>
          <w:i/>
          <w:iCs/>
        </w:rPr>
        <w:t xml:space="preserve">                                                                                                                                                                                                                                                                                                                                                                                                                                                                                                                                                                                                                                                                                                                                                                                                                                                                                                                                                                                                                                                                                                                                                                                                                                                                                                                                                                                                                                                                                                                                                                                                                                                                                                                                                                                                                                                                                                                                                                                                                                                                                                                                                                                                                                                                                                                                                                                                                                                                                                                                                                                                                                                                                                                                                                                                                                                                                                                                                                                                                                                                                                                                                                                                                                                                                                                                                                                                                                                                                                                                                                                                                                                                                                                                                                                                                                                                          </w:t>
      </w:r>
      <w:r w:rsidR="000C39CA" w:rsidRPr="00EB7965">
        <w:rPr>
          <w:i/>
          <w:iCs/>
        </w:rPr>
        <w:t xml:space="preserve">            </w:t>
      </w:r>
    </w:p>
    <w:p w14:paraId="1521E434" w14:textId="77777777" w:rsidR="00E0535E" w:rsidRPr="00EB7965" w:rsidRDefault="00E0535E" w:rsidP="00EE2C7A">
      <w:pPr>
        <w:spacing w:line="276" w:lineRule="auto"/>
        <w:jc w:val="both"/>
      </w:pPr>
    </w:p>
    <w:p w14:paraId="390DD276" w14:textId="65D3C4DD" w:rsidR="00EF50EB" w:rsidRPr="0074505D" w:rsidRDefault="00AF364B" w:rsidP="00AF364B">
      <w:pPr>
        <w:spacing w:line="276" w:lineRule="auto"/>
        <w:jc w:val="both"/>
      </w:pPr>
      <w:r>
        <w:t>Parafraseando o autor da Carta aos Hebreus, dir</w:t>
      </w:r>
      <w:r w:rsidRPr="00AF364B">
        <w:rPr>
          <w:lang w:val="pt-PT"/>
        </w:rPr>
        <w:t>í</w:t>
      </w:r>
      <w:r>
        <w:rPr>
          <w:lang w:val="pt-PT"/>
        </w:rPr>
        <w:t xml:space="preserve">amos que nos </w:t>
      </w:r>
      <w:r>
        <w:rPr>
          <w:i/>
          <w:iCs/>
          <w:lang w:val="pt-PT"/>
        </w:rPr>
        <w:t xml:space="preserve">faltará tempo necessário </w:t>
      </w:r>
      <w:r>
        <w:rPr>
          <w:lang w:val="pt-PT"/>
        </w:rPr>
        <w:t xml:space="preserve">para falar das mulheres no Antigo Testamento. O presente curso foi como uma grande janela aberta para observar o interessante papel das mulheres desde a época dos patriarcas ao cativeiro babilônico e o regresso do povo à terra de Israel, dizendo com convição </w:t>
      </w:r>
      <w:r w:rsidR="00875B69">
        <w:rPr>
          <w:lang w:val="pt-PT"/>
        </w:rPr>
        <w:t xml:space="preserve">que a cultura do povo de Deus mostra a existência de um </w:t>
      </w:r>
      <w:r w:rsidR="00875B69" w:rsidRPr="00EB7965">
        <w:rPr>
          <w:i/>
          <w:iCs/>
        </w:rPr>
        <w:t>fêmur partido que foi curado</w:t>
      </w:r>
      <w:r w:rsidR="00875B69">
        <w:rPr>
          <w:i/>
          <w:iCs/>
        </w:rPr>
        <w:t xml:space="preserve"> </w:t>
      </w:r>
      <w:r w:rsidR="00875B69">
        <w:t xml:space="preserve">ao revelar o singular papel das mulheres em sua história, diferente, em muitos aspectos, de outras culturas, especialmente a grega e a romana. </w:t>
      </w:r>
      <w:r w:rsidR="0074505D">
        <w:t xml:space="preserve">Mulheres que </w:t>
      </w:r>
      <w:r w:rsidR="0074505D">
        <w:rPr>
          <w:i/>
          <w:iCs/>
        </w:rPr>
        <w:t>representam a essência do poder feminino</w:t>
      </w:r>
      <w:r w:rsidR="0074505D">
        <w:t xml:space="preserve"> que lidera, cuida, preserva, além de servir, amar, educar como benditas criaturas do Deus Eterno. </w:t>
      </w:r>
    </w:p>
    <w:p w14:paraId="453743F0" w14:textId="7436190A" w:rsidR="00875B69" w:rsidRDefault="00875B69" w:rsidP="00AF364B">
      <w:pPr>
        <w:spacing w:line="276" w:lineRule="auto"/>
        <w:jc w:val="both"/>
      </w:pPr>
    </w:p>
    <w:p w14:paraId="5A6B8014" w14:textId="19D4221E" w:rsidR="00875B69" w:rsidRDefault="00437ADD" w:rsidP="00AF364B">
      <w:pPr>
        <w:spacing w:line="276" w:lineRule="auto"/>
        <w:jc w:val="both"/>
        <w:rPr>
          <w:lang w:val="pt-PT"/>
        </w:rPr>
      </w:pPr>
      <w:r>
        <w:rPr>
          <w:lang w:val="pt-PT"/>
        </w:rPr>
        <w:t xml:space="preserve">Paulo Mendes </w:t>
      </w:r>
    </w:p>
    <w:p w14:paraId="7A2DAA58" w14:textId="284C0EA9" w:rsidR="00670006" w:rsidRPr="00875B69" w:rsidRDefault="00670006" w:rsidP="00AF364B">
      <w:pPr>
        <w:spacing w:line="276" w:lineRule="auto"/>
        <w:jc w:val="both"/>
        <w:rPr>
          <w:lang w:val="pt-PT"/>
        </w:rPr>
      </w:pPr>
      <w:r>
        <w:rPr>
          <w:lang w:val="pt-PT"/>
        </w:rPr>
        <w:t>02/10/2021</w:t>
      </w:r>
    </w:p>
    <w:sectPr w:rsidR="00670006" w:rsidRPr="00875B6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F841E" w14:textId="77777777" w:rsidR="00D1568C" w:rsidRDefault="00D1568C" w:rsidP="00D95861">
      <w:r>
        <w:separator/>
      </w:r>
    </w:p>
  </w:endnote>
  <w:endnote w:type="continuationSeparator" w:id="0">
    <w:p w14:paraId="3E98D536" w14:textId="77777777" w:rsidR="00D1568C" w:rsidRDefault="00D1568C" w:rsidP="00D9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F969F" w14:textId="77777777" w:rsidR="00D1568C" w:rsidRDefault="00D1568C" w:rsidP="00D95861">
      <w:r>
        <w:separator/>
      </w:r>
    </w:p>
  </w:footnote>
  <w:footnote w:type="continuationSeparator" w:id="0">
    <w:p w14:paraId="4F20F581" w14:textId="77777777" w:rsidR="00D1568C" w:rsidRDefault="00D1568C" w:rsidP="00D95861">
      <w:r>
        <w:continuationSeparator/>
      </w:r>
    </w:p>
  </w:footnote>
  <w:footnote w:id="1">
    <w:p w14:paraId="7CDEEA0C" w14:textId="3BD7E734" w:rsidR="00D31184" w:rsidRPr="00CB2F63" w:rsidRDefault="00D31184">
      <w:pPr>
        <w:pStyle w:val="Textodenotaderodap"/>
        <w:rPr>
          <w:lang w:val="pt-PT"/>
        </w:rPr>
      </w:pPr>
      <w:r>
        <w:rPr>
          <w:rStyle w:val="Refdenotaderodap"/>
        </w:rPr>
        <w:footnoteRef/>
      </w:r>
      <w:r w:rsidRPr="00D31184">
        <w:rPr>
          <w:lang w:val="pt-PT"/>
        </w:rPr>
        <w:t xml:space="preserve"> </w:t>
      </w:r>
      <w:r>
        <w:rPr>
          <w:lang w:val="pt-PT"/>
        </w:rPr>
        <w:t>Ver Miqueias 6.4</w:t>
      </w:r>
      <w:r w:rsidR="00CB2F63">
        <w:rPr>
          <w:lang w:val="pt-PT"/>
        </w:rPr>
        <w:t xml:space="preserve">, onde aparece a ação divina de </w:t>
      </w:r>
      <w:r w:rsidR="00CB2F63">
        <w:rPr>
          <w:i/>
          <w:iCs/>
          <w:lang w:val="pt-PT"/>
        </w:rPr>
        <w:t xml:space="preserve">enviar </w:t>
      </w:r>
      <w:r w:rsidR="00CB2F63">
        <w:rPr>
          <w:lang w:val="pt-PT"/>
        </w:rPr>
        <w:t>os tr</w:t>
      </w:r>
      <w:r w:rsidR="00CB2F63" w:rsidRPr="00CB2F63">
        <w:rPr>
          <w:lang w:val="pt-PT"/>
        </w:rPr>
        <w:t>ê</w:t>
      </w:r>
      <w:r w:rsidR="00CB2F63">
        <w:rPr>
          <w:lang w:val="pt-PT"/>
        </w:rPr>
        <w:t>s líderes</w:t>
      </w:r>
    </w:p>
  </w:footnote>
  <w:footnote w:id="2">
    <w:p w14:paraId="333C0D79" w14:textId="70D4AB69" w:rsidR="00D95861" w:rsidRPr="00D95861" w:rsidRDefault="00D95861">
      <w:pPr>
        <w:pStyle w:val="Textodenotaderodap"/>
        <w:rPr>
          <w:lang w:val="pt-PT"/>
        </w:rPr>
      </w:pPr>
      <w:r>
        <w:rPr>
          <w:rStyle w:val="Refdenotaderodap"/>
        </w:rPr>
        <w:footnoteRef/>
      </w:r>
      <w:r w:rsidRPr="00D95861">
        <w:rPr>
          <w:lang w:val="pt-PT"/>
        </w:rPr>
        <w:t xml:space="preserve"> </w:t>
      </w:r>
      <w:r>
        <w:rPr>
          <w:lang w:val="pt-PT"/>
        </w:rPr>
        <w:t>Adolfo Winternitz foi um pintor e escultor que nasceu em Viena em 1906 e viveu muito tempo em Lima, no Per</w:t>
      </w:r>
      <w:r w:rsidRPr="00D95861">
        <w:rPr>
          <w:lang w:val="pt-PT"/>
        </w:rPr>
        <w:t>ú</w:t>
      </w:r>
      <w:r>
        <w:rPr>
          <w:lang w:val="pt-PT"/>
        </w:rPr>
        <w:t>, onde faleceu em 1993.</w:t>
      </w:r>
    </w:p>
  </w:footnote>
  <w:footnote w:id="3">
    <w:p w14:paraId="19EBDF50" w14:textId="2ADC5F4B" w:rsidR="000A4CA5" w:rsidRPr="004C1659" w:rsidRDefault="000A4CA5">
      <w:pPr>
        <w:pStyle w:val="Textodenotaderodap"/>
        <w:rPr>
          <w:lang w:val="pt-PT"/>
        </w:rPr>
      </w:pPr>
      <w:r>
        <w:rPr>
          <w:rStyle w:val="Refdenotaderodap"/>
        </w:rPr>
        <w:footnoteRef/>
      </w:r>
      <w:r>
        <w:t xml:space="preserve"> </w:t>
      </w:r>
      <w:r>
        <w:rPr>
          <w:lang w:val="pt-PT"/>
        </w:rPr>
        <w:t>Ver N</w:t>
      </w:r>
      <w:r w:rsidRPr="004C1659">
        <w:rPr>
          <w:lang w:val="pt-PT"/>
        </w:rPr>
        <w:t>úmeros 36.1-13.</w:t>
      </w:r>
    </w:p>
  </w:footnote>
  <w:footnote w:id="4">
    <w:p w14:paraId="5B084B81" w14:textId="7B8EEF64" w:rsidR="000C39CA" w:rsidRPr="004C1659" w:rsidRDefault="000C39CA">
      <w:pPr>
        <w:pStyle w:val="Textodenotaderodap"/>
        <w:rPr>
          <w:lang w:val="pt-PT"/>
        </w:rPr>
      </w:pPr>
      <w:r>
        <w:rPr>
          <w:rStyle w:val="Refdenotaderodap"/>
        </w:rPr>
        <w:footnoteRef/>
      </w:r>
      <w:r>
        <w:t xml:space="preserve"> </w:t>
      </w:r>
      <w:r w:rsidRPr="004C1659">
        <w:rPr>
          <w:lang w:val="pt-PT"/>
        </w:rPr>
        <w:t>Ver Juizes 1.11-15.</w:t>
      </w:r>
    </w:p>
  </w:footnote>
  <w:footnote w:id="5">
    <w:p w14:paraId="60AFB8E8" w14:textId="543CFBE3" w:rsidR="00005436" w:rsidRPr="00005436" w:rsidRDefault="00005436">
      <w:pPr>
        <w:pStyle w:val="Textodenotaderodap"/>
        <w:rPr>
          <w:i/>
          <w:iCs/>
          <w:lang w:val="pt-PT"/>
        </w:rPr>
      </w:pPr>
      <w:r>
        <w:rPr>
          <w:rStyle w:val="Refdenotaderodap"/>
        </w:rPr>
        <w:footnoteRef/>
      </w:r>
      <w:r>
        <w:t xml:space="preserve"> </w:t>
      </w:r>
      <w:r>
        <w:rPr>
          <w:lang w:val="pt-PT"/>
        </w:rPr>
        <w:t xml:space="preserve">Frase da Professora Lidice Meyer apresentada na quartaa aula do curso </w:t>
      </w:r>
      <w:r>
        <w:rPr>
          <w:i/>
          <w:iCs/>
          <w:lang w:val="pt-PT"/>
        </w:rPr>
        <w:t>O Sagrado Feminino no Antiguo Testamento.</w:t>
      </w:r>
    </w:p>
  </w:footnote>
  <w:footnote w:id="6">
    <w:p w14:paraId="33056160" w14:textId="74F16F35" w:rsidR="0074505D" w:rsidRPr="0074505D" w:rsidRDefault="0074505D">
      <w:pPr>
        <w:pStyle w:val="Textodenotaderodap"/>
        <w:rPr>
          <w:lang w:val="pt-PT"/>
        </w:rPr>
      </w:pPr>
      <w:r>
        <w:rPr>
          <w:rStyle w:val="Refdenotaderodap"/>
        </w:rPr>
        <w:footnoteRef/>
      </w:r>
      <w:r>
        <w:t xml:space="preserve"> </w:t>
      </w:r>
      <w:r w:rsidRPr="0074505D">
        <w:rPr>
          <w:lang w:val="pt-PT"/>
        </w:rPr>
        <w:t>Livro de Ester, capitulo 4, verso 1</w:t>
      </w:r>
      <w:r>
        <w:rPr>
          <w:lang w:val="pt-PT"/>
        </w:rPr>
        <w:t>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7511552"/>
      <w:docPartObj>
        <w:docPartGallery w:val="Page Numbers (Top of Page)"/>
        <w:docPartUnique/>
      </w:docPartObj>
    </w:sdtPr>
    <w:sdtEndPr/>
    <w:sdtContent>
      <w:p w14:paraId="689FD457" w14:textId="2109FA9B" w:rsidR="00D95861" w:rsidRDefault="00D95861">
        <w:pPr>
          <w:pStyle w:val="Cabealho"/>
          <w:jc w:val="center"/>
        </w:pPr>
        <w:r>
          <w:fldChar w:fldCharType="begin"/>
        </w:r>
        <w:r>
          <w:instrText>PAGE   \* MERGEFORMAT</w:instrText>
        </w:r>
        <w:r>
          <w:fldChar w:fldCharType="separate"/>
        </w:r>
        <w:r>
          <w:t>2</w:t>
        </w:r>
        <w:r>
          <w:fldChar w:fldCharType="end"/>
        </w:r>
      </w:p>
    </w:sdtContent>
  </w:sdt>
  <w:p w14:paraId="4F318893" w14:textId="77777777" w:rsidR="00D95861" w:rsidRDefault="00D9586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0EB"/>
    <w:rsid w:val="00005436"/>
    <w:rsid w:val="00073955"/>
    <w:rsid w:val="00077432"/>
    <w:rsid w:val="000A4CA5"/>
    <w:rsid w:val="000C39CA"/>
    <w:rsid w:val="000F3235"/>
    <w:rsid w:val="002A4502"/>
    <w:rsid w:val="002D016A"/>
    <w:rsid w:val="003234B0"/>
    <w:rsid w:val="003C30F1"/>
    <w:rsid w:val="00417B89"/>
    <w:rsid w:val="00437ADD"/>
    <w:rsid w:val="004C1659"/>
    <w:rsid w:val="00531CD1"/>
    <w:rsid w:val="0061770A"/>
    <w:rsid w:val="00670006"/>
    <w:rsid w:val="006B39F0"/>
    <w:rsid w:val="007265E2"/>
    <w:rsid w:val="0074505D"/>
    <w:rsid w:val="007B0C8D"/>
    <w:rsid w:val="008535BE"/>
    <w:rsid w:val="008723B5"/>
    <w:rsid w:val="00875B69"/>
    <w:rsid w:val="00972144"/>
    <w:rsid w:val="009D1F12"/>
    <w:rsid w:val="00A24CFD"/>
    <w:rsid w:val="00A30364"/>
    <w:rsid w:val="00A84842"/>
    <w:rsid w:val="00AF364B"/>
    <w:rsid w:val="00BE1A81"/>
    <w:rsid w:val="00C340F1"/>
    <w:rsid w:val="00CB2F63"/>
    <w:rsid w:val="00CC603B"/>
    <w:rsid w:val="00D1568C"/>
    <w:rsid w:val="00D31184"/>
    <w:rsid w:val="00D95861"/>
    <w:rsid w:val="00DC3755"/>
    <w:rsid w:val="00E0535E"/>
    <w:rsid w:val="00EB7965"/>
    <w:rsid w:val="00EE2C7A"/>
    <w:rsid w:val="00EF50EB"/>
    <w:rsid w:val="00F709E2"/>
    <w:rsid w:val="00F76D2B"/>
    <w:rsid w:val="00FD3A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355E"/>
  <w15:chartTrackingRefBased/>
  <w15:docId w15:val="{5EC7EA96-D81A-4791-AA76-F790546C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0EB"/>
    <w:pPr>
      <w:spacing w:after="0" w:line="240" w:lineRule="auto"/>
    </w:pPr>
    <w:rPr>
      <w:rFonts w:ascii="Times New Roman" w:eastAsiaTheme="minorEastAsia" w:hAnsi="Times New Roman" w:cs="Times New Roman"/>
      <w:sz w:val="24"/>
      <w:szCs w:val="24"/>
      <w:lang w:val="pt-BR" w:eastAsia="es-E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Tipodeletrapredefinidodopargrafo"/>
    <w:uiPriority w:val="22"/>
    <w:qFormat/>
    <w:rsid w:val="00EF50EB"/>
    <w:rPr>
      <w:b/>
      <w:bCs/>
    </w:rPr>
  </w:style>
  <w:style w:type="paragraph" w:styleId="Textodenotaderodap">
    <w:name w:val="footnote text"/>
    <w:basedOn w:val="Normal"/>
    <w:link w:val="TextodenotaderodapCarter"/>
    <w:uiPriority w:val="99"/>
    <w:semiHidden/>
    <w:unhideWhenUsed/>
    <w:rsid w:val="00D95861"/>
    <w:rPr>
      <w:sz w:val="20"/>
      <w:szCs w:val="20"/>
    </w:rPr>
  </w:style>
  <w:style w:type="character" w:customStyle="1" w:styleId="TextodenotaderodapCarter">
    <w:name w:val="Texto de nota de rodapé Caráter"/>
    <w:basedOn w:val="Tipodeletrapredefinidodopargrafo"/>
    <w:link w:val="Textodenotaderodap"/>
    <w:uiPriority w:val="99"/>
    <w:semiHidden/>
    <w:rsid w:val="00D95861"/>
    <w:rPr>
      <w:rFonts w:ascii="Times New Roman" w:eastAsiaTheme="minorEastAsia" w:hAnsi="Times New Roman" w:cs="Times New Roman"/>
      <w:sz w:val="20"/>
      <w:szCs w:val="20"/>
      <w:lang w:eastAsia="es-ES"/>
    </w:rPr>
  </w:style>
  <w:style w:type="character" w:styleId="Refdenotaderodap">
    <w:name w:val="footnote reference"/>
    <w:basedOn w:val="Tipodeletrapredefinidodopargrafo"/>
    <w:uiPriority w:val="99"/>
    <w:semiHidden/>
    <w:unhideWhenUsed/>
    <w:rsid w:val="00D95861"/>
    <w:rPr>
      <w:vertAlign w:val="superscript"/>
    </w:rPr>
  </w:style>
  <w:style w:type="paragraph" w:styleId="Cabealho">
    <w:name w:val="header"/>
    <w:basedOn w:val="Normal"/>
    <w:link w:val="CabealhoCarter"/>
    <w:uiPriority w:val="99"/>
    <w:unhideWhenUsed/>
    <w:rsid w:val="00D95861"/>
    <w:pPr>
      <w:tabs>
        <w:tab w:val="center" w:pos="4252"/>
        <w:tab w:val="right" w:pos="8504"/>
      </w:tabs>
    </w:pPr>
  </w:style>
  <w:style w:type="character" w:customStyle="1" w:styleId="CabealhoCarter">
    <w:name w:val="Cabeçalho Caráter"/>
    <w:basedOn w:val="Tipodeletrapredefinidodopargrafo"/>
    <w:link w:val="Cabealho"/>
    <w:uiPriority w:val="99"/>
    <w:rsid w:val="00D95861"/>
    <w:rPr>
      <w:rFonts w:ascii="Times New Roman" w:eastAsiaTheme="minorEastAsia" w:hAnsi="Times New Roman" w:cs="Times New Roman"/>
      <w:sz w:val="24"/>
      <w:szCs w:val="24"/>
      <w:lang w:eastAsia="es-ES"/>
    </w:rPr>
  </w:style>
  <w:style w:type="paragraph" w:styleId="Rodap">
    <w:name w:val="footer"/>
    <w:basedOn w:val="Normal"/>
    <w:link w:val="RodapCarter"/>
    <w:uiPriority w:val="99"/>
    <w:unhideWhenUsed/>
    <w:rsid w:val="00D95861"/>
    <w:pPr>
      <w:tabs>
        <w:tab w:val="center" w:pos="4252"/>
        <w:tab w:val="right" w:pos="8504"/>
      </w:tabs>
    </w:pPr>
  </w:style>
  <w:style w:type="character" w:customStyle="1" w:styleId="RodapCarter">
    <w:name w:val="Rodapé Caráter"/>
    <w:basedOn w:val="Tipodeletrapredefinidodopargrafo"/>
    <w:link w:val="Rodap"/>
    <w:uiPriority w:val="99"/>
    <w:rsid w:val="00D95861"/>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BB0B9-531A-43F9-9E86-2D4FA952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1748</Words>
  <Characters>9444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Mendes</dc:creator>
  <cp:keywords/>
  <dc:description/>
  <cp:lastModifiedBy>Lidice Ribeiro</cp:lastModifiedBy>
  <cp:revision>2</cp:revision>
  <dcterms:created xsi:type="dcterms:W3CDTF">2021-10-12T17:27:00Z</dcterms:created>
  <dcterms:modified xsi:type="dcterms:W3CDTF">2021-10-12T17:27:00Z</dcterms:modified>
</cp:coreProperties>
</file>